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28.02.2020, оставленным без изменения постановлением Девятого арбитражного апелляционного суда от 10.07.2020, иск удовлетворен. Постановлением Арбитражного суда Московского округа от 09.10.2020 указанные судебные акты оставлены без изменения. 2 Учреждение обратилось в Верховный Суд Российской Федерации с кассационной жалобой, в которой просит названные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401, 450.1, 702 Гражданского кодекса Российской Федерации,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иск, признав неправомерным односторонний отказ заказчика от исполнения контракта в отсутствие доказательств вины исполнителя в нарушении условий контракта. Доводы жалобы были предметом исследования судов и получили исчерпывающую правовую оценку с учетом представленных документов, не согласиться с которыми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