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«Российские Инженерные Технологии» обратилось в Арбитражный суд Республики Татарстан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«КАМАЗ-Марко» 4 786 рублей 10 копеек процентов за пользование чужими денежными средствами, 189 164 рублей 16 копеек стоимости невыбранного товара и 168 983 рублей 90 копеек убытков.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«АвтоПластик». Решением Арбитражного суда Республики Татарстан от 25.12.2019 иск удовлетворен в части взыскания 167 рублей 37 копеек процентов, в удовлетворении иска в остальной части отказано. Постановлением Одиннадцатого арбитражного апелляционного суда от 10.06.2020 решение суда первой инстанции оставлено без изменения. 2 Арбитражный суд Поволжского округа постановлением от 09.10.2020 указанные судебные акты оставил без изменения. Общество с ограниченной ответственностью «Российские Инженерные Технологии»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69, 71 Арбитражного процессуального кодекса Российской Федерации, руководствуясь положениями статей 15, 195, 196, 199, 393, 395 Гражданского кодекса Российской Федерации,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пришли к выводу о необоснованности иска исходя из недоказанности факта надлежащего и своевременного предъявления ответчику к приемке результата работ, предусмотренного договором, возникновения у истца убытков и пропуске истцом срока исковой давности по части требований.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«Российские Инженерные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