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«Дальневосточная транспортная компания» обратилось в Арбитражный суд Приморского края с иском, уточненным в порядке статьи 49 Арбитражного процессуального кодекса Российской Федерации, о взыскании с акционерного общества «ПримАгро» 2 577 290 рублей 34 копеек расходов, понесенных во исполнение договора оказания услуг по перевозке и перевалке зерна от 11.10.2018 № 00010295/18-111. Решением Арбитражного суда Приморского края от 04.12.2019 в удовлетворении иска отказано. Постановлением Пятого арбитражного апелляционного суда от 14.07.2020 решение суда первой инстанции изменено, иск удовлетворен в части взыскания 2 287 093 рублей 09 копеек, в удовлетворении иска в остальной части отказано. Арбитражный суд Дальневосточного округа постановлением от 15.10.2020 постановление суда апелляционной инстанции оставил без изменения. 2 Акционерное общество «ПримАгро» обратилось в Судебную коллегию Верховного Суда Российской Федерации с кассационной жалобой на постановления суда апелляционной инстанции и суда округа,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установив, что требование о возмещении понесенных во исполнение договора расходов является требованием о возмещении убытков ввиду фактического отказа ответчика (заказчика) от исполнения договора транспортной экспедиции в одностороннем порядке, признав расходы истца по исполнению договора обоснованными, понесенными истцом с целью исполнения заключенного с ответчиком договора, руководствуясь статьями 801, 806 Гражданского кодекса Российской Федерации, положениями Федерального закона от 30.06.2003 № 87-ФЗ «О транспортно-экспедиционной деятельности», апелляционный суд пришел к выводу о наличии оснований для удовлетворения заявленного требования. Проверив в порядке статей 286, 287 Арбитражного процессуального кодекса Российской Федерации законность судебного акта, правильность применения норм материального и процессуального права при рассмотрении дела, суд округа пришел к выводу о соответствии выводов, содержащихся в постановлении суда апелляционной инстанции, установленным фактическим обстоятельствам и имеющимся в деле доказательствам. Доводы, изложенные в кассационной жалобе, приводились при рассмотрении дела, были рассмотрены судами и им дана надлежащая оценка. Несогласие заявителя кассационной жалобы с произведенной судами оценкой представленных доказательств и фактических обстоятельств дела не свидетельствует о неправильном применении судами норм материального и 3 процессуального права, не подтверждает существенных нарушений норм материального права и норм процессуального права, повлиявших на исход дела, и не является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«ПримАгро»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