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29.11.2019 иск удовлетворен. Четвертый арбитражный апелляционный суд постановлением от 04.06.2020 в редакции определения от 06.07.2020 отменил решение от 29.11.2019 и взыскал 91 826 рублей 40 копеек задолженности. Арбитражный суд Восточно-Сибирского округа постановлением от 09.11.2020 постановление Четвертого арбитражного апелляционного суда от 04.06.2020 оставил без изменения. В кассационной жалобе общество «Закамагролизинг» просит об отмене судебных актов апелляционного и окружного судов, ссылаясь на неправильное применение последствий злоупотребления правом в вопросе соблюдения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Последствия пропуска срока исковой давности применяются независимо от причин пропуска срока. Апелляционный суд правомерно руководствовался статьей 199, пунктом 2 статьи 200 Гражданского кодекса Российской Федерации при определении суммы займа, в отношении которой истцом соблюден срок исковой давности. Истцу была предоставлена отсрочка уплаты государственной пошлины за подачу иска, поэтому при принятии постановления суд апелляционной инстанции взыскал с него госпошлину за подачу иска в доход бюджета и расходы на уплату госпошлины за апелляционное обжалование – в пользу противной стороны пропорционально размеру удовлетворенных требований.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«Закамагролизинг»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