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«Мечел-Транс» обратилось в Арбитражный суд Новосибирской области с иском о взыскании с акционерного общества «Сибирская энергетическая компания» 732 345 рублей 25 копеек ущерба в виде разницы между рыночной стоимостью поврежденного вагона и страховой выплатой и 10 000 рублей расходов на проведение оценки.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Страховая компания «Росгосстрах» и ВТБ Лизинг (Акционерное общество). Решением Арбитражного суда Новосибирской области от 29.08.2019 иск удовлетворен. Постановлением Седьмого арбитражного апелляционного суда от 03.07.2020 решение суда первой инстанции отменено и в удовлетворении иска отказано. 2 Арбитражный суд Западно-Сибирского округа постановлением от 15.10.2020 постановление суда апелляционной инстанции оставил без изменения. Общество с ограниченной ответственностью «Мечел-Транс» обратилось в Судебную коллегию Верховного Суда Российской Федерации с кассационной жалобой на постановление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64, 65, 67, 68, 71 Арбитражного процессуального кодекса Российской Федерации, учитывая, что акт общей формы и акт о повреждении вагона, составленные непосредственно работниками железнодорожного транспорта, содержат противоречивые сведения о повреждении спорного вагона, учитывая выводы экспертного заключения по результатам судебной экспертизы на предмет определения количества и стоимости причиненных вагону повреждений, выплату страховой компанией истцу страхового возмещения, превышающего стоимость поврежденного вагона, руководствуясь статьями 15, 1064 Гражданского кодекса Российской Федерации, положениями Федерального закона от 10.01.2003 № 18-ФЗ «Устав железнодорожного транспорта Российской Федерации», Правилами составления актов при перевозках грузов железнодорожным транспортом, утвержденными приказом МПС РФ от 18.06.2003 № 45, апелляционный суд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3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эксперта, а также с выводами судов, сделанными по результатам оценки заключения эксперта в совокупности с иными доказательствами по делу, не свидетельствует о нарушении судами положений статьи 82 Арбитражного процессуального кодекса Российской Федерации. Нарушений или неправильного применения норм процессуального права, в том числе связанных с отказом в привлечении к участию в деле третьих лиц, не заявляющих самостоятельных требований относительно предмета спора,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«Мечел-Транс»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