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12.03.2019 иск удовлетворен. Постановлением Девятого арбитражного апелляционного суда от 07.07.2019 решение суда первой инстанции отменено, в удовлетворении иска отказано. Постановлением Арбитражного суда Московского округа от 29.10.2019 постановление суда апелляционной инстанции оставлено без изменения. В кассационной жалобе, поданной в Верховный Суд Российской Федерации, предприятие, ссылаясь на нарушение судами апелляционной инстанции и округа норм материального и процессуального права, несоответствие их выводов фактическим обстоятельствам дела, просит отменить постановления от 07.07.2019, от 29.10.2019 и оставить в силе решение суда первой инстанции от 12.03.2019.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иска, суд апелляционной инстанции, повторно оценив по правилам статьи 71 Арбитражного процессуального кодекса Российской Федерации представленные в материалы дела доказательства и руководствуясь статьями 401 , 405 , 406 , 743 Гражданского кодекса Российской Федерации, исходил из того, что общество было лишено возможности выполнить работы в установленный договором срок в связи с неисполнением предприятием встречных обязательств, что исключает возможность привлечения ответчика к гражданско-правовой ответственности в виде взыскания неустойки.С указанными выводами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«Главное военно-строительное управление № 15»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ФГУП "ГЛАВНОЕ ВОЕННО-СТРОИТЕЛЬНОЕ УПРАВЛЕНИЕ №15" (подробнее) Ответчики: ООО "Стройпроект"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