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16.10.2018, оставленным без изменения постановлением Двадцатого арбитражного апелляционного суда от 11.12.2018, производство по делу прекращено со ссылкой на неверную квалификацию действий общества, суд пришел к выводу, 2 что совершенное обществом правонарушение следует квалифицировать по части 3 статьи 14.16 Кодекса Российской Федерации об административных правонарушениях, дела по которым подведомственны мировым судьям. Постановлением Арбитражного суда Центрального округа от 14.02.2019 указанные судебные акты отменены, дело направлено на новое рассмотрение в суд первой инстанции. При новом рассмотрении дела административный орган уточнил свое требование и просил привлечь общество к административной ответственности по части 1 статьи 14.17 Кодекса Российской Федерации об административных правонарушениях. Решением Арбитражного суда Брянской области от 17.07.2019, оставленным без изменения постановлением Двадцатого арбитражного апелляционного суда от 06.12.2019, общество привлечено к административной ответственности по части 3 статьи 14.17 Кодекса Российской Федерации об административных правонарушениях и ему назначено наказание в виде административного штрафа в размере 2 000 000 рублей. Постановлением Арбитражного суда Центрального округа от 09.10.2020 принятые при новом рассмотрении дела судебные акты изменены, действия общества переквалифицированы с части 3 статьи 14.17 Кодекса Российской Федерации об административных правонарушениях на часть 1 статьи 14.17 Кодекса Российской Федерации об административных правонарушениях и ему назначено наказание в виде административного штрафа в размере 100 000 рублей. При установленных обстоятельствах, свидетельствующих о том, что имея лицензию на осуществление деятельности по розничной продаже алкогольной продукции при оказании услуг общественного питания, общество осуществило в кафе реализацию алкогольной продукции без вскрытия потребительской тары, выводы суда округа не противоречат правовой позиции, изложенной в Определении Судебной коллегии по экономическим спорам Верховного Суда Российской Федерации от 25.08.2020 № 310-ЭС20-5228. 3 Административный орган в кассационной жалобе просит изменить мотивировочную часть постановления суда округа в части вывода о необходимости исключения из вмененного обществу правонарушения эпизода по розничной продаже четырех банок пива «Балтика» при оказании услуг общественного питания без вскрытия тары.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Чем в рассматриваемом случае нарушены охраняемые законом публичные интересы, и какой защите они подлежат, в жалобе не указано.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