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ФАС России 03.02.2021 обратилась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Московского округа от 12.11.2020, срок на обжалование которого истек 12.01.2021. Обратившись с кассационной жалобой 03.02.2021, заявитель пропустил установленный законодательством срок на ее подачу. Несвоевременную подачу жалобы заявитель обосновывает переводом работников на дистанционный режим работы в соответствии с указом Мэра Москвы от 01.10.2020 № 96-УМ «О внесении изменений в указы Мэра Москвы от 04.04.2020 № 40-УМ и от 08.06.2020 № 68-УМ».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Рассмотрев заявленное ходатайство, суд не находит оснований для его удовлетворения. Подача кассационной жалобы в арбитражный суд с соблюдением установленных законом срока и порядка ее подачи, а также требований, предъявляемых процессуальным законом к ее форме и содержанию, является обязанностью лица, подающего жалобу. Приведенный заявителем довод о переводе работников на дистанционный режим работы не свидетельствует о наличии уважительных причин пропуска срока на подачу кассационной жалобы. Заявитель является инициатором обжалования судебных актов, принятых по результатам рассмотрения дела. Представитель заявителя принимал участие в рассмотрении дела в суде округа. С полным текстом последнего обжалуемого судебного акта - постановления суда округа от 12.11.2020 ФАС России могла ознакомиться 13.11.2020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Доказательств, свидетельствующих о том, что заявитель был лишен возможности обратиться в суд посредством заполнения формы, размещенной на официальном сайте суда в информационно-телекоммуникационной сети Интернет, не представлено. ФАС России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На основании изложенного,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установленный законом срок,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антимонопольной службе в удовлетворении ходатайства о восстановлении пропущенного процессуального срока подачи кассационной жалобы. Кассационную жалобу на постановление Девятого арбитражного апелляционного суда от 07.07.2020 и постановление Арбитражного суда Московского округа от 12.11.2020 по делу № А40-18315/2019 Арбитражного суда города Москвы возвратить заявителю. Судья Верховного Суда Российской Федерации М.К. Антонова Суд: Верховный Суд РФ (подробнее) Истцы: ФАС России (подробнее) Федеральная антимонопольная служба (подробнее) Ответчики: ФГУП ДСО ФМБА России (подробнее) Федеральное медико-биологическое агентство (подробнее) Иные лица: ООО "Бустрен РМ" (подробнее) ООО "Макира" (подробнее) ООО "Перспектива"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