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Анализ нормы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податель жалобы просит об отсрочке уплаты государственной пошлины в связи с нахождением в процессе банкротства. Согласно статье 102 Арбитражного процессуального кодекса Российской Федерации и пункту 2 статьи 333.22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 Суд счел ходатайство подлежащим удовлетворению. Руководствуясь статьей 184 Арбитражного процессуального кодекса Российской Федерации, статьей 333.22 Налогового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предоставить закрытому акционерному обществу «МеталлСтройКонструкция» отсрочку уплаты государственной пошлины до окончания производства по поданной им кассационной жалобе. Судья Верховного Суда Российской Федерации Н.А. Ксенофонтова Суд: Верховный Суд РФ (подробнее) Истцы: ЗАО к/у "МСК" Любименко Александр Никитович (подробнее) ЗАО "МеталлСтройКонструкция" (подробнее) Ответчики: ООО "Элемент Лизинг" (подробнее) Иные лица: Управление Федеральной налоговой службы по г. Москве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