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10.03.2020, оставленным без изменения постановлением Девятнадцатого арбитражного апелляционного суда от 09.07.2020, в удовлетворении иска отказано. Арбитражный суд Центрального округа постановлением от 09.11.2020 отменил решение от 10.03.2020 и постановление Девятнадцатого арбитражного апелляционного суда от 09.07.2020 в связи с определением ответственного за убытки лица в противоречие с установленным основанием возникновения ответственности и направил дело на новое рассмотрение в Арбитражный суд Орловской области. 2 В кассационной жалобе учреждение просит об отмене постановления окружного суда, ссылаясь на игнорирование установления нижестоящими судами надлежащего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 противоречие с определенным основанием возникновения обязательства из причинения вреда нижестоящие суды признали ответственным за убытки лицо, вступившее по поводу имущества, при использовании которого вред причинен, в обязательственные правоотношения. Направление дела на новое рассмотрение для устранения указанного противоречия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автомобильной магистрали Москва-Харьков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