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«Омитранс-Менеджмент» обратилось в Арбитражный суд Республики Татарстан с иском о взыскании с общества с ограниченной ответственностью «О2» 12 420 рублей штрафа за просрочку доставки груза по договору-заявке на осуществление перевозки от 11.04.2019 № 276. Общество с ограниченной ответственностью «О2» обратилось в суд с встречным иском о взыскании с общества с ограниченной ответственностью «Омитранс-Менеджмент» 6 000 рублей уплаченного штрафа и 9 200 рублей штрафа по договору-заявке на осуществление перевозки от 11.04.2019 № 276. Решением Арбитражного суда Республики Татарстан от 05.06.2020 первоначальный иск удовлетворен; в удовлетворении встречного иска отказано. Постановлением Одиннадцатого арбитражного апелляционного суда от 03.09.2020 решение суда первой инстанции оставлено без изменения. Арбитражный суд Поволжского округа постановлением от 17.12.2020 указанные судебные акты отменил и направил дело на новое рассмотрение в Арбитражный суд Республики Татарстан. Общество с ограниченной ответственностью «Омитранс-Менеджмент» обратилось в Судебную коллегию по экономическим спорам Верховного Суда 2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«Омитранс- Менеджмент»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