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12.02.2020, оставленным без изменения постановлением Девятого арбитражного апелляционного суда от 07.07.2020, в удовлетворении иска отказано. Арбитражный суд Московского округа постановлением от 20.10.2020 оставил без изменения решение от 12.02.2020 и постановление Девятого арбитражного апелляционного суда от 07.07.2020. В кассационной жалобе общество «ИНТРА» просит об отмене судебных актов вследствие игнорирования судами установленных в ранее рассмотренном деле обстоятельств, несоответствия выводов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исполнения договора от 29.04.2016 № И-29/04-2016 и установили просрочку истца в исполнении обязательств как основание для освобождения ответчика от требуемой к применению ответственности (пункт 1 статьи 406 Гражданского кодекса Российской Федерации). Из обстоятельств, установленных в ранее рассмотренном об исполнении договора деле, суды в силу статьи 69 Арбитражного процессуального кодекса Российской Федерации правомерно признали имеющими значение для рассматриваемого дела только те, которые относятся к его предмету.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