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Волгоградской области от 13.10.2020, оставленным без изменения постановлением Двенадцатого арбитражного апелляционного суда от 19.11.2020, дело передано в Волгоградский областной суд для направления его в суд общей юрисдикции, к подсудности которого оно отнесено законом. В кассационной жалобе, поданной в Верховный Суд Российской Федерации, общество просит отменить судебные акты, ссылаясь на существенное нарушение норм права, направить дело в Арбитражный суд Волгоградской области для решения вопроса о принятии заявления к производству.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Передавая дело на рассмотрение в суд общей юрисдикции, суд первой инстанции, руководствуясь положениями статей 27, 29, 197, 329 Арбитражного процессуального кодекса Российской Федерации, учитывая разъяснения, изложенные в пункте 4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пункте 2 Информационного письма Президиума Высшего Арбитражного Суда Российской Федерации от 21.06.2004 № 77 «Обзор практики рассмотрения дел, связанных с исполнением судебными приставами- исполнителями судебных актов арбитражных судов», пришел к выводу о несоблюдении заявителем правил о подсудности. 3 Суд исходил из того, что вопросы, подлежащие выяснению в ходе рассмотрения заявления общества по настоящему делу, затрагивают сводное исполнительное производство. Как указал суд первой инстанции, на дату подачи обществом заявления в рамках сводного исполнительного производства № 34446/18/34033-СД, с которым объединено исполнительное производство № 34446/18/34033-ИП, возбужденное на основании дубликата исполнительного листа ФС № 026060101 по делу № А36- 8874/2016, исполняется документ, выданный судом общей юрисдикции. Суд апелляционной инстанции подержал выводы суда первой инстанции. Доводы, изложенные в кассационной жалобе, являлись предметом рассмотрения судов, не свидетельствуют о существенных нарушениях ими норм процессуального права, основаны на ином его толковании, в связи с чем не могут служить основанием для передачи жалобы на рассмотрение в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«Газэнергосеть Тамбов»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