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06.03.2020 в удовлетворении иска отказано. Постановлением Восемнадцатого арбитражного апелляционного суда от 25.06.2020, оставленным без изменения постановлением Арбитражного суда Уральского округа от 21.10.2020, решение отменено, иск удовлетворен. В кассационной жалобе общество «Автодорсервис» просит о пересмотре судебных актов апелляционного и окружного судов, ссылаясь на прекращение обязательства, об исполнении которого предъявлен иск, надлежащим исполнением, не оспариваемым истцом до введения в отношении него процедуры наблюдения.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установил, что основаниями возникновения взаимных обязательств сторон являются различные исполнявшиеся независимо друг от друга договоры, обязательства по которым могут считаться прекращенными в силу статьи 408 Гражданского кодекса Российской Федерации, если исполнены в соответствующем условиям договоров порядке. Задолженность истца перед ответчиком в связи с неоплатой поставки могла прекратиться в силу статьи 410 Гражданского кодекса Российской Федерации в силу заявления ответчика о зачете, наличия которого до предъявления иска суды не установили, и невозможность которого в процессе рассмотрения дела признали в связи с ведением в отношении истца процедур в деле о банкротстве. При таких обстоятельствах иск правомерно удовлетворен.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«Автодорсервис»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