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12.01.2020, оставленным без изменения постановлением Второго арбитражного апелляционного суда от 24.08.2020 и постановлением Арбитражного суда Волго-Вятского округа от 16.11.2020, исковые требования удовлетворены. В кассационной жалобе общество «Автотрест» просит о пересмотре судебных актов, ссылаясь на неисполнение истцом обязанности по доказыванию осуществления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330, 486, 506, 516 Гражданского кодекса Российской Федерации, суды удовлетворили иск по установленным фактам поставки истцом (поставщиком) товара в рамках договора от 03.05.2018 № 42 и неполной оплаты его ответчиком (покупателем).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«Автотрест»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