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24.01.2020, оставленным без изменения постановлением Первого арбитражного апелляционного суда от 18.06.2020 и постановлением Арбитражного суда Волго-Вятского округа от 12.10.2020, иск удовлетворен. В кассационной жалобе завод просит об отмене судебных актов вследствие отсутствия условий для взыскания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установили, что порядок определения расходов, подлежащих взысканию с поставщика (завода) в связи с недопоставкой автокомпонентов, согласован сторонами в договоре от 20.09.2017 № 901022, в соответствии с которым произведен расчет взыскиваемой суммы. Учитывая определение расходов расчетным путем, их размер не подлежал доказыванию в имевшем место случае недопоставки. Реализация истцом права на применение договорной ответственности не может быть отнесена к недобросовестным действиям.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«Завод Автокомпонент»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