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06.03.2020, оставленным без изменения постановлением Первого арбитражного апелляционного суда от 19.06.2020 и постановлением Арбитражного суда Волго-Вятского округа от 12.10.2020, иск удовлетворен. В кассационной жалобе завод просит об отмене судебных актов вследствие отсутствия условий для взыскания убытков.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установили, что порядок определения расходов, подлежащих взысканию с поставщика (завода) в связи с недопоставкой автокомпонентов, согласован сторонами в договоре от 20.09.2017 № 901022, в соответствии с которым произведен расчет взыскиваемой суммы. Учитывая определение расходов расчетным путем, их размер не подлежал доказыванию в имевшем место случае недопоставки. Реализация истцом права на применение договорной ответственности не может быть отнесена к недобросовестным действиям.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«Завод Автокомпонент»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