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22.06.2020, оставленным без изменения постановлением Пятнадцатого арбитражного апелляционного суда от 18.08.2020, в иске отказано. Постановлением Арбитражного суда Северо-Кавказского округа от 05.11.2020 указанные судебные акты оставлены без изменения. 2 Общество обратилось в Верховный Суд Российской Федерации с кассационной жалобой, в которой просит названные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статьи 449 Гражданского кодекса Российской Федерации, статей 59, 64, 66, 69 Федерального закона от 05.04.2013 № 44-ФЗ «О контрактной системе в сфере закупок товаров, работ, услуг для обеспечения государственных и муниципальных нужд», статьи 38 Федерального закона от 21.11.2011 № 323-ФЗ «Об основах охраны здоровья граждан в Российской Федерации», суды в иске отказали, признав заявку на участие в электронном аукционе не соответствующей установленным требования. Доводы жалобы были предметом исследования судов и получили исчерпывающую правовую оценку, в том числе, исходя из недоказанности наличия защищаемого права лица, предъявившего иск, с учетом объявленного объекта закупки, не согласиться с которыми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