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29.12.2019 иск удовлетворен. Постановлением Тринадцатого арбитражного апелляционного суда от 01.06.2020 решение суда первой инстанции отменено, в иске отказано. 2 Постановлением Арбитражного суда Северо-Западного округа от 08.10.2020 постановление суда апелляционной инстанции оставлено без изменения. Общество обратилось в Верховный Суд Российской Федерации с кассационной жалобой, в которой просит постановления судов апелляционной и кассационной инстанций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Отказывая в иске, суд апелляционной инстанции, руководствуясь положениями статей 328, 405, 708, 450.1 Гражданского кодекса Российской Федерации, статьи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признал правомерным односторонний отказ заказчика от исполнения контракта в связи с нарушением исполнителем сроков и несоответствием результата работ условиям контракта. Суд округа согласился с выводами суда апелляционной инстанции. Доводы кассационной жалобы были предметом исследования судов и получили исчерпывающую правовую оценку с учетом установленных судом апелляционной инстанции обстоятельств, свидетельствующих о том, что выявленные недостатки препятствуют использованию результата в соответствии с целями заключения контракта, в установленный срок исполнителем недостатки работ не устранены,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