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20.06.2019 в иске отказано. Постановлением Двадцатого арбитражного апелляционного суда от 12.11.2019 решение суда первой инстанции отменено в части отказа в иске о взыскании с ответчика 13 829 575,95 рублей, иск в указанной части 2 удовлетворен, изменено решение в части распределения судебных расходов, в удовлетворении остальной части иска отказано. Постановлением Арбитражного суда Центрального округа от 11.11.2020 постановление суда апелляционной инстанции отменено в части требования о взыскании с ответчика 1 168 095,74 рублей, дело в указанной части направлено на новое рассмотрение в Двадцатый арбитражный апелляционный суд, в остальной части постановление суда апелляционной инстанции оставлено без изменения. Ответчик обратился в Верховный Суд Российской Федерации с кассационной жалобой, в которой просит постановления суда апелляционной инстанции и суда округа отменить, в иске отказать.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Частично удовлетворяя иск, суды апелляционной и кассационной инстанций руководствовались положениями статей 329, 370, 375.1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пунктами 29, 30 «Обзора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нужд», и исходили из того, что внесенные денежные средства должны обеспечивать имущественные требования заказчика к исполнителю, в связи с чем не установили оснований для удержания оставшейся части суммы обеспечительного платежа. При этом суд округа признал неверным произведенный расчет пени, направив дело на новое рассмотрение в указанной части. Доводы жалобы были предметом исследования судов и получили исчерпывающую правовую оценку в обжалуемых судебных актах с учетом 3 компенсационного характера гражданской ответственности и условий контракта,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