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24.01.2020, оставлены без изменения постановлением Пятнадцатого арбитражного апелляционного суда от 10.08.2020 и постановлением Арбитражного суда Северо-Кавказского округа от 28.10.2020, с общества в пользу учреждения взыскано 4 200 000 руб. неотработанного аванса, 3 001 250 руб. пеней, 700 000 руб. штрафа, в удовлетворении остальной части требований отказано. В кассационной жалобе, поданной в Верховный Суд Российской Федерации, общество, выражая несогласие с выводами судов в части взыскания с него неотработанного аванса, просит отменить указанные судебные акты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исковые требования в обжалуемой части,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450, 451, 721, 763, 1102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исходили из того, что контракт расторгнут учреждением в одностороннем порядке, доказательств надлежащего выполнения обществом работ не представлено, в связи с чем у него не имеется правовых оснований для удержания спорной суммы и она подлежит возврату. 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«Центр судоремонта «Звездочка»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