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«Стройлидер» обратилось в Арбитражный суд Московской области с иском о взыскании с общества с ограниченной ответственностью «Городской Транзит» 35 651 801 рубля 80 копеек задолженности по договору оказания услуг от 07.12.2018 за период с февраля по июль 2019 года и 1 389 477 рублей 69 копеек процентов за пользование чужими денежными средствами за период с 19.02.2019 по 28.01.2020. Решением Арбитражного суда Московской области от 04.02.2020 иск удовлетворен. Постановлением Десятого арбитражного апелляционного суда от 03.08.2020 решение суда первой инстанции оставлено без изменения. Арбитражный суд Московского округа постановлением от 06.11.2020 указанные судебные акты оставил без изменения. Общество с ограниченной ответственностью «Городской Транзит» обратилось в Судебную коллегию Верховного Суда Российской Федерации с 2 кассационной жалобой на принятые по делу судебные акты в части взыскания процентов за пользование чужими денежными средствами,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истцом обязательства по договору исполнены надлежащим образом, услуги по транспортированию твердых коммунальных отходов оказаны, факт исполнения обязательств подтвержден подписанными сторонами без разногласий и замечаний универсальными передаточными документами, отсутствуют доказательства оплаты оказанных услуг в полном объеме, руководствуясь статьями 309, 395, 779, 781, 783 Гражданского кодекса Российской Федерации, суды пришли к выводу о наличии у ответчика обязанности по оплате оказанных услуг и уплате процентов.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«Городской Транзит»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