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«Метатр» обратилось в Арбитражный суд города Москвы с иском о взыскании с общества с ограниченной ответственностью «Гелинта» 511 036 рублей 94 копеек неосновательного обогащения и 41 412 рублей 29 копеек процентов за пользование чужими денежными средствами. Решением Арбитражного суда города Москвы от 13.02.2020, принятым в порядке упрощенного производства, в удовлетворении иска отказано. Девятый арбитражный апелляционный суд перешел к рассмотрению дела по общим правилам искового производства и постановлением от 29.07.2020 решение суда отменил и в удовлетворении иска отказал. Арбитражный суд Московского округа постановлением от 08.10.2020 постановление суда апелляционной инстанции оставил без изменения. Общество с ограниченной ответственностью «Метатр» обратилось в Судебную коллегию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спорная денежная сумма взыскана на основании вступившего в законную силу судебного акта по делу № А41-102082/2017 Арбитражного суда Московской области, руководствуясь положениями статей 1102, 1105 Гражданского кодекса Российской Федерации, суд апелляционной инстанции пришел к выводу о недоказанности возникновения на стороне ответчика неосновательного обогащения.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