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28.03.2020 исковые требований удовлетворены. Тринадцатый арбитражный апелляционный суд постановлением от 14.07.2020 произвел процессуальное правопреемство, заменив предприятие 2 на его правопреемника – акционерное общество «Судостроительный завод «Море»; оставил без изменения решение суда первой инстанции. Постановлением Арбитражного суда Северо-Западного округа от 15.10.2020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предприятия (исполнитель) мотивированы ненадлежащим исполнением обществом (заказчик) обязательств по оплате работ, выполненных исполнителем в рамках договора от 21.12.2015 № 1520187306811020105015432/41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истец выполнил работы и сдал их результат ответчику по актам выполненных работ; по инициативе заказчика стороны подписали соглашение о расторжении договора, которым согласовали условие о необходимости возмещения исполнителю фактически произведенных затрат с учетом выданного военным представительством заключения; в соответствии с указанным заключением итоговая цена работ составляет 147 619 141 руб. 51 коп. Исключив из данной суммы перечисленный ответчиком аванс (100 000 000 руб.), руководствуясь статьями 309, 310, 395, 702, 711, 753 Гражданского кодекса Российской Федерации, суды пришли к выводу о наличии оснований для удовлетворения исковых требований.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«Интро-Пелла»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