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«Банк профсоюзной солидарности и социальных инвестиций «Солидарность» (далее – банк) обратился в суд с заявлением о включении в реестр требований кредиторов должника (далее – реестр) его требования в размере 98 082 814 рублей 71 копейки как обеспеченного залогом имущества должника по договору последующей ипотеки от 06.04.2016. Определением Арбитражного суда города Москвы от 09.01.2020, оставленным без изменения постановлениями Девятого арбитражного апелляционного суда от 20.07.2020 и Арбитражного суда Московского округа от 08.10.2020, заявленные требования удовлетворены.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342.1, 807-810, 819 Гражданского кодекса Российской Федерации, статьями 100, 134, 138 Федерального закона от 26.10.2002 № 127-ФЗ «О несостоятельности (банкротстве)», пунктом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заявленное требование подтверждено документально, не погашено по состоянию на день рассмотрения его обоснованности, а основания для прекращения залога в пользу банка отсутствуют.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кассационной жалобе доводы заявителя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«Прогресс-ГП» Архиповой Анастасии Ивановны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