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закрытое акционерное общество «Южноуральский лизинговый центр» (далее – общество) обратилось в суд с заявлением о включении в реестр требований кредиторов должника (далее – реестр) задолженности в размере 1 579 732 рублей 62 копеек. Определением Арбитражного суда Челябинской области от 27.03.2020, оставленным без изменения постановлениями Восемнадцатого арбитражного апелляционного суда от 10.06.2020 и Арбитражного суда Уральского округа от 06.10.2020, требование общества в сумме 479 732 рублей 62 копеек основного долга признано обоснованным и подлежащим включению в третью очередь реестра; в удовлетворении требований в остальной части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требований общества.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15, 393, 454, 456, 469, 470, 475, 477, 1064 Гражданского кодекса Российской Федерации и исходили из доказанности условий, необходимых для привлечения должника к гражданско-правовой ответственности в виде возмещения убытков, сочтя необходимым самостоятельно произвести расчёт сальдо встречных обязательств сторон и удовлетворить заявленные требования частично.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«Грузовая техника» Удалову Дмитрию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