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11.02.2020, оставленным без изменения постановлением Четырнадцатого арбитражного апелляционного суда от 17.08.2020, заявленное требование удовлетворено. Постановлением Арбитражного суда Северо-Западного округа от 02.12.2020 судебные акты первой и апелляционной инстанций отменены, в удовлетворении заявления отказано. В кассационной жалобе, поданной в Верховный Суд Российской Федерации, департамент, ссылаясь на существенное нарушение норм права, просит отменить постановление суда округа, оставить в силе решение суда первой и постановление суда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счетной палатой на основании пункта 1 статьи 12 Положения о Контрольно-счетной палате города Твери, пункта 2.1.5 Плана деятельности Контрольно-счетной палаты города Твери проведено контрольное мероприятие по проверке законности и обоснованности использования департаментом средств бюджета города Твери, направленных на строительство (реконструкцию) автомобильных дорог общего пользования и искусственных сооружений на них в 2018 году (выборочно). В ходе проверки счетной палатой установлено, что департаментом нарушены условия пунктов 3.1 и 4.3.30 муниципального контракта, заключенного им с обществом, поскольку заказчиком не исполнена обязанность в части предъявления подрядчику требования об уплате неустойки за нарушение срока выполнения работ и за несвоевременное направление письменного уведомления о привлечении к исполнению контракта субподрядных организаций. По результатам проверки составлен акт от 30.09.2019 и выдано представление, пунктом 2 которого департаменту предложено принять меры по взысканию с общества в соответствии с условиями контракта неустойки в сумме 1 057 300 рублей, в том числе 415 200 рублей за нарушение установленного пунктом 3.1 контракта срока выполнения работ, 642 100 рублей за нарушение установленного пунктом 4.3.30 контракта срока письменного уведомления заказчика о привлечении подрядчиком субподрядных организаций. Не согласившись с представлением в указанной части, департамент обратился в арбитражный суд. Удовлетворяя заявленное требование, суды первой и апелляционной инстанций исходили из недоказанности счетной палатой вины общества в нарушении обязательств по контракту, отсутствии оснований для привлечения подрядчика к ответственности за нарушение положений пункта 4.3.30 контракта. Отменяя судебные акты, суд округа, руководствуясь положениями Бюджетного кодекса Российской Федерации,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Закона Тверской области от 29.09.2011 3 № 51-ЗО «О Контрольно-счетной палате Тверской области», пришел к выводу об отсутствии оснований для удовлетворения требования департамента. Суд округа указал, что обязанность заказчика направить поставщику (подрядчику, исполнителю) требование об уплате неустойки (штрафов, пеней) в случае просрочки исполнения поставщиком (подрядчиком, исполнителем) обязательств,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прямо установлена частью 6 статьи 34 Федерального закона от 05.04.2013 № 44-ФЗ «О контрактной системе в сфере закупок товаров, работ, услуг для обеспечения государственных нужд» (далее - Закон о контрактной системе) и обусловлена к обязательному исполнению в силу пункта 3 части 1 статьи 94 Закона о контрактной системе. Поскольку спорный контракт заключен обществом в сфере закупки работ для обеспечения муниципальных нужд, а обязанность заказчика в случае невыполнения (ненадлежащего выполнения) подрядчиком предусмотренных контрактом обязательств - направить последнему требование об уплате неустойки (штрафов, пеней) предусмотрена Законом о контрактной системе, у судов не имелось оснований для возложения на счетную палату обязанности по доказыванию вины общества в нарушении обязательств. Факт выполнения обществом работ и направления заказчику уведомления о привлечении субподрядчиков к исполнению контракта с нарушением сроков, указанных в пунктах 3.1 и 4.3.30 контракта, судами установлен, ответственность подрядчика за просрочку исполнения любых обязательств по контракту предусмотрена пунктом 8.2.2 контракта. Доводы жалобы не опровергают выводы суда округа, основанные на правильном применении положений законодательства к установленным судами первой и апелляционной инстанций фактическим обстоятельствам спора, не свидетельствуют о существенных нарушениях норм материального и процессуального права и не могут служить основанием для передачи жалобы на рассмотрение в Судебной коллегии Верховного Суда Российской Федерации.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дорожного хозяйства, благоустройства и транспорта администрации города Твери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