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23.03.2020, оставленным без изменения постановлением Восьмого арбитражного апелляционного суда от 30.06.2020, в иске отказано. Постановлением Арбитражного суда Западно-Сибирского округа от 12.10.2020 указанные судебные акты оставлены без изменения. Истец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329, 330, 431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в иске отказали, не установив оснований для начисления штрафа за неисполнение (ненадлежащее исполнение) обязательств. Доводы жалобы были предметом исследования судов и получили исчерпывающую правовую оценку с учетом буквального толкования контракта и предмета закупки,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