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391 408 рублей. Определением Арбитражного суда Рязанской области от 26.02.2020, оставленным без изменения постановлениями Двадцатого арбитражного апелляционного суда от 13.08.2020 и Арбитражного суда Центрального округа от 17.11.2020, в удовлетворении заявленного требования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включении требования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195, 196, 199, 200, 864, 1102 Гражданского кодекса Российской Федерации, статьями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пришли к выводам о том, что требование не подтверждено документально и заявлено с пропуском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«Символ»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