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пересмотре по вновь открывшимся обстоятельствам определения Арбитражного суда Пермского края от 13.04.2019 о частичном удовлетворении поданной им жалобы на действия (бездействие) конкурсного управляющего должником Харчевникова Михаила Юрьевича. Определением Арбитражного суда Пермского края от 19.05.2020, оставленным без изменения постановлениями Семнадцатого арбитражного апелляционного суда от 07.07.2020 и Арбитражного суда Уральского округа от 05.10.2020,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309-312 Арбитражного процессуального кодекса Российской Федерации, пунктами 3,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заявителем обстоятельства не соответствовали признакам вновь открывшихся, являлись новыми доказательствами, приводимыми к фактам, которые уже были предметом судебного исследования, в связи с чем не могли служить основанием для пересмотра судебного акта.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Зуеву Михаилу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