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Саратовской области от 11.02.2020, оставленным без изменения постановлением Двенадцатого арбитражного апелляционного суда от 02.06.2020, оспариваемое постановление изменено в части назначенного наказания, размер административного штрафа снижен до 200 000 рублей. Постановлением Арбитражного суда Поволжского округа от 08.10.2020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Исходя из доводов жалобы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 и установив факт ненадлежащего выполнения обществом предписания органа исполнительной власти, осуществляющего федеральный государственный надзор в области промышленной безопасности, суды, руководствуясь положениями Федерального закона от 04.05.2011 № 99-ФЗ «О лицензировании отдельных видов деятельности», Федерального закона от 21.07.1997 № 116-ФЗ «О промышленной безопасности опасных производственных объектов», пришли к выводу о наличии в действиях общества состава правонарушения по части 11 3 статьи 19.5 Кодекса Российской Федерации об административных правонарушениях. Доказательств невозможности соблюдения обществом требований законодательства в силу чрезвычайных событий и обстоятельств, которые оно не могло предвидеть и предотвратить при соблюдении той степени заботливости и осмотрительности, которая от него требовалась, не установлено. Процедура и срок давности привлечения к ответственности соблюдены, штраф снижен судом ниже низшего размера санкции нормы. Оснований для признания правонарушения малозначительным не установлено. Доводы жалобы повторяют позицию общества по делу, являлись предметом рассмотрения судов и получили исчерпывающую правовую оценку в обжалуемых судебных актах. При этом, как следует из разъяснений, изложенных в ответе на 21 вопрос Обзора законодательства и судебной практики Верховного Суда Российской Федерации за четвертый квартал 2006 года, утвержденного постановлением Президиума Верховного Суда Российской Федерации от 07.03.2007, по общему правилу привлечение к ответственности прекращает правонарушение, однако если лицо, привлеченное к административной ответственности, не выполняет обязанности, возложенные на него законом или иным нормативным правовым актом, или делает это ненадлежащим образом, то возможно повторное привлечение его к ответственности с соблюдением определенных условий. Кроме того, ранее общество было привлечено к ответственности по части 1 статьи 9.1 КоАП РФ, то есть за совершение другого правонарушения.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