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26.05.2020, оставленным без изменения постановлением Седьмого арбитражного апелляционного суда от 16.07.2020, в иске отказано. Постановлением Арбитражного суда Западно-Сибирского округа от 03.11.2020 указанные судебные акты оставлены без изменения. 2 Комитет обратился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Исходя из доводов жалобы основания для ее удовлетворения отсутствуют. Оценив представленные доказательства, руководствуясь положениями статей 15, 393, 723 Гражданского кодекса Российской Федерации, суды отказали в иске, не установив ненадлежащего исполнения подрядчиком условий договора в отсутствие доказательств предъявления заказчиком претензий по качеству работ. Доводы кассационной жалобы противоречат правовой позиции, изложенной в ответе на вопрос 1 в Обзоре судебной практики Верховного Суда Российской Федерации № 2 (2017), утвержденном Президиумом Верховного Суда Российской Федерации 26.04.2017.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