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Кировской области от 18.06.2020 арбитражный управляющий привлечена к административной ответственности по части 3 статьи 14.13 Кодекса Российской Федерации об административных правонарушениях и ей назначено административное наказание в виде административного штрафа в размере 25 000 рублей. 2 Постановлением Арбитражного суда Волго-Вятского округа от 08.10.2020 решение суда первой инстанции оставлено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установив, что арбитражный управляющий в нарушение Федерального закона от 26.10.2002 № 127-ФЗ «О несостоятельности (банкротстве)», не производила ежемесячные выплаты должнику-гражданину в полном размере, не отразила в отчете о своей деятельности и о результатах проведения реализации имущества должника сведения о привлеченных ею лицах, суды пришли к выводу о доказанности административным органом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пределах санкции нормы.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управляющего, который обязан действовать добросовестно и разумно в интересах должника и кредиторов, а также с учетом полномочий административного органа проводить проверку деятельности арбитражного управляющего и возбуждать административное производство в случае установления фактов несоблюдения им обязанностей, установленных законодательством о банкротстве.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3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