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06.02.2020, оставленным без изменения постановлением Двадцать первого арбитражного апелляционного суда от 02.06.2020, в удовлетворении требования отказано. Постановлением Арбитражного суда Центрального округа от 07.10.2020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ненадлежащем содержании обществом общего имущества многоквартирного дома.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статей 161, 162 Жилищного кодекса Российской Федерации, Правил и норм технической эксплуатации жилищного фонда, утвержденных постановлением Государственного комитета по строительству и жилищно-коммунальному комплексу от 27.09.2003 № 170, Правил содержания общего имущества в многоквартирном доме, утвержденных постановлением Правительства Российской Федерации от 13.08.2006 № 491, Минимальным перечнем услуг и работ, необходимых для обеспечения надлежащего содержания общего 3 имущества в многоквартирном доме, утвержденным постановлением Правительства Российской Федерации от 03.04.2013 № 290,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правонарушениях, признав, что ответственность за ненадлежащее содержание общего имущества многоквартирных домов несет общество как управляющая организация. Вина общества в совершении правонарушения установлена.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судом не установлено. Доводы жалобы были предметом исследования судов и получили исчерпывающую правовую оценку применительно к вмененному правонарушению и порядку привлечения к административной ответственности,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