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06.05.2020, оставленным без изменения постановлением Тринадцатого арбитражного апелляционного суда от 15.07.2020, в 2 удовлетворении требования отказано, оспариваемое постановление признано не подлежащим исполнению. Постановлением Арбитражного суда Северо-Западного округа от 19.10.2020 названные судебные акты отменены в части признания постановления не подлежащим исполнению, в остальной части указанные судебные акты оставлены без изменения. Общество обратилось в Верховный Суд Российской Федерации с кассационной жалобой, в которой просит постановления суда округа отменить, считая его принятым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округа не согласился с выводами судов о наличии оснований для признания оспариваемого постановления не подлежащим исполнению. Выводы суда округа не противоречат положениям статей 1.7, 31.7, 31.8 Кодекса Российской Федерации об административных правонарушениях, а также разъяснениям, содержащимся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и пунктов 1 и 2 постановления Пленума Высшего Арбитражного Суда Российской Федерации 3 от 22.06.2012 №37 «О некоторых вопросах, возникающих при устранении ответственности за совершение публично-правового правонарушения». Доказательств того, что действия общества с учетом новой редакции статьи 16 Закона № 273-70 прекратили иметь характер правонарушения, не представлено.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