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13.03.2020, оставленным без изменения постановлением Седьмого арбитражного апелляционного суда от 15.06.2020 и постановлением Арбитражного суда Западно-Сибирского округа от 01.10.2020, иск удовлетворен. В кассационной жалобе, поданной в Верховный Суд Российской Федерации, департамент финансов, ссылаясь на нарушение судами норм материального права,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учитывая, что решением суда по делу № А67-5812/2018 подтвержден факт неосновательного обогащения на стороне ответчика, суды первой и апелляционной инстанций пришли к выводу о том, что истцом правомерно начислены проценты за спорный период, расчет которых проверили и признали верным. При таких обстоятельствах, руководствуясь статьями 395, 1107 Гражданского кодекса Российской Федерации, суды удовлетворили иск общества.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финансов администрации города Томска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