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государственному бюджетному учреждению здравоохранения Владимирской области «Гусь-Хрустальная городская больница» срок подачи кассационной жалобы на решение Арбитражного суда Владимирской области от 08.11.2019 по делу № А11-1710/2019, постановление Первого арбитражного апелляционного суда от 22.05.2020 и постановление Арбитражного суда Волго-Вятского округа от 16.09.2020 по тому же делу. Судья Верховного Суда Н.А. Ксенофонтова Российской Федерации Суд: Верховный Суд РФ (подробнее) Истцы: ООО "Капитал медицинское страхование" (подробнее) ООО "Капитал мед. страхование" (подробнее) Ответчики: ГБУЗ ВО "Гусь-Хрустальная гор. больница" (подробнее) Государственное бюджетное учреждение здравоохранения Владимирской области "гусь-Хрустальная центральная городская больница"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