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14.01.2020, оставленным без изменения постановлением Девятого арбитражного апелляционного суда от 23.07.2020, иск удовлетворен в части обязания общества произвести замену сухих деревьев, в остальной части в иске отказано. 2 Постановлением Арбитражного суда Московского округа от 14.10.2020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431, 722, 723 Гражданского кодекса Российской Федерации, суды удовлетворили иск частично, признав, что заказчик правомерно предъявил требование, связанное с недостатками результата работ, обнаруженными в течение гарантийного срока; на подрядчика в рассматриваемом случае возложена обязанность по безвозмездному устранению недостатков в разумный срок. Доводы жалобы были предметом исследования судов и получили исчерпывающую правовую оценку с учетом условий контракта,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