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12.03.2020, оставленным без изменения постановлением Первого арбитражного апелляционного суда от 18.06.2020 и постановлением Арбитражного суда Волго-Вятского округа от 01.10.2020, иск удовлетворен. В кассационной жалобе общество «КИТШИН» просит о пересмотре судебных актов, ссылаясь на неосновательное неоставление иска без рассмотрения в связи непредставлением на бумажном носителе документов о полномочиях органа и представителя истца.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в связи с доводами ответчика установили реализацию истцом с соблюдением действующего в судах порядка об электронном документообороте подачу искового заявления и заявления об изменении основания иска. Аналогичные доводы жалобы не создают оснований для кассационного пересмотра судебных актов. Доводов в отношении материально-правовой стороны рассмотренного дела жалоба не содержит.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«КИТШИН»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