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февраля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21.01.2021 (согласно оттиску штампа на почтовом конверте) направило в Верховный Суд Российской Федерации кассационную жалобу на указанные судебные акты и одновременно заявило ходатайство о восстановлении пропущенного срока на ее подачу.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2 кассационную жалобу, при условии, что ходатайство подано не позднее шести месяцев со дня вступления в законную силу обжалуемого судебного акта. В силу части 2 статьи 117 Арбитражного процессуального кодекса Российской Федерации арбитражный суд восстанавливает пропущенный процессуальный срок, если признает причины пропуска уважительными. Оценив приведенные обществом причины пропуска процессуального срока, суд признает их уважительными. Поскольку ходатайство о восстановлении пропущенного процессуального срока заявлено в пределах установленного срока, причины пропуска срока признаны судом уважительными, данное ходатайство подлежит удовлетворению на основании части 2 статьи 291.2 Арбитражного процессуального кодекса Российской Федерации. Руководствуясь статьями 117, 184, 291.2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«ТеплоСервис» о восстановлении пропущенного срока удовлетворить, пропущенный срок на подачу кассационной жалобы восстановить.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