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02.07.2020, оставленным без изменения постановлением Первого арбитражного апелляционного суда от 18.09.2020, иск удовлетворен. 2 Постановлением Арбитражного суда Волго-Вятского округа от 30.11.2020 указанные судебные акты оставлены без изменения. Учреждение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330, 401, 408, 425, 525, 526 Гражданского кодекса Российской Федерации, статей 34, 93 Федерального закона от 05.04.2013 № 44-ФЗ «О контрактной системе в сфере закупок товаров, работ, услуг для обеспечения государственных и муниципальных нужд», суды иск удовлетворили, исходя из конкретных фактических обстоятельств дела, свидетельствующих о правомерном начислении неустойки. Доводы жалобы были предметом исследования судов и получили исчерпывающую правовую оценку, в том числе, с учетом поведения сторон и отсутствия доказательств нарушения конкурентных процедур,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