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18.10.2019 заявление предпринимателя о процессуальном правопреемстве на стороне истца оставлено без удовлетворения, в удовлетворении иска общества «Спецстройгрупп» отказано по мотиву несоответствия предъявленного требования о выплате страхового возмещения условиям договора страхования. Девятый арбитражный апелляционный суд постановлением от 06.03.2020 отменил решение от 18.10.2019 в части отказа в удовлетворении заявления о процессуальном правопреемстве и произвел замену общества «Спецстройгрупп» на предпринимателя Карезину Е.В.; в остальной части решение оставил без изменения. 2 Арбитражный суд Московского округа постановлением от 29.09.2020 постановление Девятого арбитражного апелляционного суда от 06.03.2020 оставил без изменения. В кассационной жалобе предприниматель просит об отмене судебных актов, ссылаясь на возникшую у ответчика обязанность возместить убытки на основании отчета эксперта в качестве последствия просрочки кредитора и отсутствие в деле положенного в основу постановления апелляционной инстанции экспертного заключения.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удовлетворил заявление о процессуальном правопреемстве, отменив в отношении него решение, в связи с чем доводы, связанные с участием предпринимателя в суде первой инстанции беспредметны. Довод заявителя об обязанности возместить убытки в силу пункта 2 статьи 405 Гражданского кодекса Российской Федерации в качестве последствия просрочки реагирования ответчика на заявление о наступившем страховом случае отклонено в связи с установленным отсутствием согласования денежной формы страховой выплаты, документального неподтверждения произведенных на восстановительный ремонт автомобиля затрат и непринятием представленного истцом отчета эксперта из-за расхождения указанных в нем повреждений с выявленными при осмотре в связи с заявлением потерпевшего о наступившем страховом случае страховщиком повреждениями.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Карезиной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