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10.12.2018, оставленным без изменения постановлением Пятнадцатого арбитражного 2 апелляционного суда от 05.03.2019, в удовлетворении заявленного требования отказано. Постановлением Арбитражного суда Северо-Кавказского округа от 24.06.2019 указанные судебные акты отменены, дело направлено на новое рассмотрение в суд первой инстанции. При новом рассмотрении дела решением Арбитражного суда Ростовской области от 22.01.2020, оставленным без изменения постановлением Пятнадцатого арбитражного апелляционного суда от 28.07.2020, в удовлетворении заявленных требований отказано. Постановлением Арбитражного суда Северо-Кавказского округа от 02.11.2020 названные судебные акты оставлены без изменения. В кассационной жалобе, поступившей в Верховный Суд Российской Федерации, общество просит отменить обжалуемые судебные акты, считая их принятыми с существенным нарушением норм материального и процессуального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статей 26.3, 105.1, 170, 171, 172, 252, 274, 346.26, 346.29 Налогового кодекса 3 Российской Федерации, а также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суды отказали в удовлетворении заявленных требований, признав, что налоговым органом собрано достаточно доказательств, свидетельствующих о том, что в спорный период в целях получения необоснованной налоговой выгоды обществом произведено формальное деление бизнеса, деятельность общества и контрагентов является частью единого процесса, направленного на достижение общего экономического результата. Приведенные в жалобе доводы были предметом рассмотрения судов трех инстанций и получили исчерпывающую правовую оценку применительно к установленным обстоятельствам и представленным сторонами доказательствам. Доводы жалобы сводятся к несогласию заявителя с установленными судами фактическими обстоятельствами дела, в том числе, относительно размера начисленной недоимки, что в силу статьи 291.6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порядке.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