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20.12.2019, оставленным без изменения постановлением Девятого арбитражного апелляционного суда от 15.07.2020, заявленные требования удовлетворены частично, признано незаконным решение ФАС России в части признания губернатора Челябинской области, министерства и общества нарушившими статью 16 Федерального закона от 26.07.2006 № 135-ФЗ «О защите конкуренции» (далее - Закон о защите конкуренции) путем заключения соглашения между органами государственной власти субъекта Российской Федерации и хозяйствующим субъектом и участия в нем, что привело к ограничению конкуренции; признания министерства и общества нарушившими пункт 1 части 1 статьи 17 Закона о защите конкуренции путем заключения соглашения между заказчиком 2 и участником торгов и участия в нем, что привело к ограничению конкуренции и созданию преимущественных условий для участника торгов - общества. В удовлетворении требования общества о признании незаконным решения ФАС России в части не выдачи ответчикам предписаний об устранении нарушения антимонопольного законодательства по факту заключения запрещенных соглашений в связи с завершением их реализации; направления решения и материалов по делу № 1-16-115/00-22-18 в Следственный департамент Министерства внутренних дел Российской Федерации и в Генеральную прокуратуру Российской Федерации отказано. Постановлением Арбитражного суда Московского округа от 11.11.2020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В кассационной жалобе, поданной в Верховный Суд Российской Федерации, Дубровский Б.А., ссылаясь на существенное нарушение норм права, просит отменить постановление суда округа, оставить в силе решение суда первой инстанции и постановление суда апелляционной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решением ФАС России губернатор Челябинской области, министерство и общество признаны нарушившими статью 16 Закона о защите конкуренции путем заключения соглашения между органами государственной власти субъекта Российской Федерации и хозяйствующим субъектом и участия в нем, что привело к ограничению конкуренции; министерство и общество признаны нарушившими пункт 1 части 1 статьи 17 Закона о защите конкуренции путем заключения соглашения между заказчиком и участником торгов и участия в нем, что привело к ограничению конкуренции и созданию преимущественных условий для участника торгов - общества); прекращено рассмотрение дела в части нарушения губернатором Челябинской области пункта 1 части 1 статьи 17 Закона о защите конкуренции. Кроме того, указанным решением предписания об устранении нарушения антимонопольного законодательства по факту заключения запрещенных соглашений ответчикам решено не выдавать в связи с завершением их реализации; материалы по делу направлены в Следственный 3 департамент Министерства внутренних дел Российской Федерации и в Генеральную прокуратуру Российской Федерации. Не согласившись с решением антимонопольного органа, общество и Дубровский Б.А. обратились в арбитражный суд. Удовлетворяя заявленные требования, суды первой и апелляционной инстанций пришли к выводу о недоказанности ФАС России заключения между сторонами антиконкурентного соглашения, а также обстоятельств того, какое влияние на ход аукционов, результаты, включая цену торгов, оказало каждое конкретное лицо. Отменяя судебные акты и направляя дело на новое рассмотрение, суд округа, руководствуясь положениями Закона о защите конкуренции, учитывая разъяснения, изложенные в пункте 4 Постановления Пленума Высшего Арбитражного Суда Российской Федерации от 30.06.2008 №30 «О некоторых вопросах, возникающих в связи с применением арбитражными судами антимонопольного законодательства», пришел к выводу, что судебные акты не содержат результатов оценки доказательств и мотивов, по которым им не приняты те или иные доказательства, представленные лицами, участвующими в деле, в обоснование своих требований и возражений. Направляя дело на новое рассмотрение в суд первой инстанции, суд округа не принимал какого-либо решения по существу спора, а указал на необходимость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 и при правильном применении норм материального права и соблюдении норм процессуального права принять законное и обоснованное решение. При новом рассмотрении дела стороны не лишены возможности излагать свои доводы по всем возникающим в ходе рассмотрения дела вопросам, представлять соответствующие доказательства и иными способами обосновывать свою позицию по делу. Доводы Дубровского Б.А., изложенные в жалобе, не подтверждают нарушения судом округа норм права при вынесении обжалуемого постановления. При таких обстоятельствах отсутствуют основания для передачи кассационной жалобы на рассмотрение в судебном заседании Судебной коллегии по экономическим спорам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Дубровскому Борису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