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29.12.2018 в удовлетворении иска отказано. Постановлением Девятого арбитражного апелляционного суда от 09.08.2019 решение суда первой инстанции отменено в части отказа в иске о взыскании 850 271 739 руб. 62 коп. долга, исковые требования в указанной части удовлетворены, в остальной части решение суда оставлено без изменения. Постановлением Арбитражного суда Московского округа от 19.11.2019 постановление суда апелляционной инстанции отменено, дело направлено на новое рассмотрение в Девятый арбитражный апелляционный суд.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постановление суда апелляционной инстанций и направляя дело на новое рассмотрение, суд округа, не принимая судебного акта по существу спора, указал на необходимость установить все обстоятельства, имеющие существенное значение для правильного разрешения спора, и дать оценку доводам сторон.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«Агентство-Порати»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"Агентство-Поратти" (подробнее) ООО "Инвестстройфинанс" (подробнее) Ответчики: Коммандитное товарищество "ДСК-1 и Ко" (подробнее) Товарищество навере "ДСК-1 и Компания" (подробнее) Судьи дела: Чучунова Н.С. (судья) (подробнее) Последние документы по делу: Определение от 2 февраля 2021 г. по делу № А40-173872/2017 Определение от 23 марта 2020 г. по делу № А40-173872/2017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