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26.06.2019, оставленным без изменения постановлением Тринадцатого арбитражного апелляционного суда от 02.10.2019 и постановлением Арбитражного суда Северо-Западного округа от 01.10.2020,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предприятия (исполнитель) мотивированы ненадлежащим исполнением обществом (заказчик) обязательств по оплате работ, выполненных исполнителем в рамках договора от 21.12.2015 № 1520187306811020105015432/40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истец выполнил работы и сдал их результат ответчику по актам выполненных работ; по инициативе заказчика стороны подписали соглашение о расторжении договора, которым согласовали условие о необходимости возмещения исполнителю фактически произведенных затрат с учетом выданного Военным представительством Министерства обороны Российской Федерации (далее – военное представительство) заключения; в соответствии с указанным заключением итоговая цена работ составляет 309 356 275 руб. 93 коп. Исключив из данной суммы перечисленный ответчиком аванс (100 000 000 руб.) и произведенную им частичную оплату (36 900 000 руб.), учитывая отсутствие доказательств, опровергающих достоверность определенной заключением стоимости выполненных работ, руководствуясь статьями 309 , 310 , 395 Гражданского кодекса Российской Федерации, суды пришли к выводу о наличии оснований для удовлетворения исковых требований. С указанными выводами впоследствии согласился суд округа. Доводы заявителя о недействительности заключения военного представительства были предметом рассмотрения судов и получили соответствующую правовую оценку.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«Интро-Пелла»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ФГУП "СУДОСТРОИТЕЛЬНЫЙ ЗАВОД "МОРЕ" (подробнее) Ответчики: ООО "ИНТРО-ПЕЛЛА" (подробнее) Иные лица: 369 Военное Представительство МинОбороны РФ (подробнее) Арбитражный суд города Санкт-Петербурга и Ленинградской области (подробнее) АС СЗО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