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20.12.2019, оставленным без изменения постановлением Девятого арбитражного апелляционного суда от 26.06.2020, иск удовлетворен. Арбитражный суд Московского округа постановлением от 01.10.2020 оставил без изменения решение от 20.12.2019 и постановление Девятого арбитражного апелляционного суда от 26.06.2020. В кассационной жалобе предприниматель просит об отмене судебных актов, ссылаясь на неосновательные неотклонение незаблаговременно представленных ответчиком документов, подтверждающих расчет сальдо встречных требований, и отказ в назначении экспертизы для оценки продажной цены предмета лизинга.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истец исполнил обязанность по доказыванию оснований требования, по существу не опровергнутых ответчиком. Обсуждение ходатайства предпринимателя о назначении экспертизы отражено в судебных актах. Вопросы доказывания и оценки доказательств разрешены судами в пределах компетенции в соответствии со статьями 65 , 71 Арбитражного процессуального кодекса Российской Федерации) и связанные с ними доводы жалобы не создают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предпринимателю-главе крестьянско- фермерского хозяйства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АО "Росагролизинг"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