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16.04.2019 с общества в пользу компании взыскано 31 936 102 руб. 57 коп. задолженности; с компании в пользу общества взыскано 1 666 849 руб. неустойки за нарушение срока выполнения работ, 29 747 руб. расходов по госпошлине; в результате зачета удовлетворенных требований с общества в пользу компании взыскано 30 239 506 руб. 57 коп. 2 Одиннадцатый арбитражный апелляционный суд определением от 20.02.2020 перешел к рассмотрению дела по правилам суда первой инстанции, постановлением от 25.05.2020 произвел процессуальную замену истца по первоначальному иску - компании на ее правопреемника – открытое акционерное общество «Центральный рынок» (далее – рынок); отменил решение суда первой инстанции, принял новый судебный акт; взыскал с общества в пользу рынка 25 312 730 руб. 09 коп. задолженности, отказал в удовлетворении остальной части первоначального иска; взыскал с компании в пользу общества 4 000 000 руб. неустойки, отказал в удовлетворении остальной части встречных требований; произвел зачет удовлетворенных требований по первоначальному и встречному искам. Постановлением Арбитражного суда Поволжского округа от 02.09.2020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в части удовлетворения первоначального иска и направить дело в указанной части на новое рассмотрение в Арбитражный суд Самарской области. В остальной части возражений относительно принятых по делу судебных актов жалоба не содержит.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в порядке статьи 71 Арбитражного процессуального кодекса Российской Федерации представленные в материалы дела доказательства, в том числе заключение повторной инженерно-строительной судебной экспертизы, установив, что стоимость фактически выполненных компанией работ в рамках договора составила 47 412 730 руб. 09 коп., учитывая произведенную обществом частичную оплату работ на сумму 22 100 000 руб., суд апелляционной инстанции пришел к выводу о наличии у общества задолженности в размере 25 312 730 руб. 09 коп. и, руководствуясь статьями 309, 310, 453, 702, 711, 711, 720, 729, 740, 746, 753 Гражданского кодекса Российской Федерации, удовлетворил первоначальный иск в указанной части. С указанными выводами впоследствии согласился суд округа. 3 Доводы заявителя об оплате работ наличными денежными средствами были предметом рассмотрения судов и отклонены с подробным изложением мотивов.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«Хеппи Инвест Аренда»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