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01.03.2019 с общества в пользу компании взыскано 2 036 135 руб. задолженности, 58 420 руб. 63 коп. пеней, 20 000 руб. расходов на оплату юридических услуг, в удовлетворении остальной части требований отказано. Публичное акционерное общество Банк «Траст» (далее – банк) в порядке пункта 24 постановления Пленума Высшего Арбитражного Суда Российской Федерации от 22.06.2012 № 35 «О некоторых процессуальных вопросах, 2 связанных с рассмотрением дел о банкротстве» и общество с ограниченной ответственностью «ТСК Центр Экспертизы» (далее – центр) в порядке статьи 42 Арбитражного процессуального кодекса Российской Федерации обратились в Девятый арбитражный апелляционный суд с апелляционными жалобами на решение суда первой инстанции. Постановлением Девятого арбитражного апелляционного суда от 13.03.2020 апелляционная жалоба банка оставлена без удовлетворения, производство по апелляционной жалобе центра прекращено. Постановлением Арбитражного суда Московского округа от 29.09.2020 постановление суда апелляционной инстанции оставлено без изменения. В кассационной жалобе, поданной в Верховный Суд Российской Федерации, общество, ссылаясь на нарушение судами норм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состоявшихся по делу судебных актов и доводов кассационной жалобы не установлено. Удовлетворяя исковые требования, суд первой инстанции руководствовался статьями 309, 310, 779, 781 Гражданского кодекса Российской Федерации и исходил из доказанности факта ненадлежащего исполнения ответчиком обязательств по оплате услуг, оказанных истцом в рамках спорного договора. Повторно исследовав и оценив в совокупности и взаимной связи представленные в дело доказательства, суд апелляционной инстанции поддержал выводы суда первой инстанции, указав на непредставление доказательств, подтверждающих заинтересованность сторон сделки и отсутствие их воли на создание соответствующих сделке правовых последствий. Суд округа согласился с выводами апелляционного суда. Доводы кассационной жалобы были предметом рассмотрения судов и получили правовую оценку, не опровергают выводы судов, направлены на переоценку обстоятельств, установленных судами,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3 для передачи жалобы для рассмотрения в судебном заседании Судебной коллегии Верховного Суда Российской Федерации. Учитывая изложенное 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«Техносерв Консалтинг»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