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12.02.2020, оставленным без изменения постановлением Девятнадцатого арбитражного апелляционного суда от 25.06.2020, в удовлетворении иска отказано. Арбитражный суд Центрального округа постановлением от 01.10.2020 отменил решение от 12.02.2020 и постановление Девятнадцатого арбитражного апелляционного суда от 25.06.2020 в связи с неустановлением исполнения сторонами правоотношений, в рамках которых перечислялась спорная сумма, и направил дело на новое рассмотрение в Арбитражный суд Воронежской области. В кассационной жалобе предприниматель просит об отмене постановления окружного суда, ссылаясь на нарушение пределов рассмотрения дела и единообразия в толковании и применении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нижестоящие суды признали перечисление денежных средств в рамках существовавшей между сторонами сделки без установления обстоятельств ее исполнения, на отсутствие которого ссылался истец, находящийся в процедуре банкротства, поэтому отменил судебные акты в соответствии с основаниями и пределами полномочий, установленными статьями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"Классика" (подробнее) ООО конкурсный управляющий "Классика" Гриченко Э.К. (подробнее) Ответчики: ИП Дедов Виктор Анатольевич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